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16DC97" w14:textId="77777777" w:rsidR="002F785F" w:rsidRDefault="002F785F">
      <w:pPr>
        <w:rPr>
          <w:rFonts w:ascii="黑体" w:eastAsia="黑体" w:hAnsi="黑体" w:hint="eastAsia"/>
          <w:sz w:val="32"/>
          <w:szCs w:val="32"/>
        </w:rPr>
      </w:pPr>
    </w:p>
    <w:p w14:paraId="2E1986FD" w14:textId="77777777" w:rsidR="002F785F" w:rsidRDefault="002F785F">
      <w:pPr>
        <w:jc w:val="center"/>
        <w:rPr>
          <w:rFonts w:ascii="方正小标宋_GBK" w:eastAsia="方正小标宋_GBK" w:hAnsi="宋体" w:hint="eastAsia"/>
          <w:sz w:val="44"/>
          <w:szCs w:val="44"/>
        </w:rPr>
      </w:pPr>
    </w:p>
    <w:p w14:paraId="245C7499" w14:textId="77777777" w:rsidR="002F785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木垒哈萨克自治县民族歌舞团</w:t>
      </w:r>
    </w:p>
    <w:p w14:paraId="09F1DF83" w14:textId="77777777" w:rsidR="002F785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1F185479" w14:textId="77777777" w:rsidR="002F785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36D5C0F" w14:textId="77777777" w:rsidR="002F785F"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5716479" w14:textId="77777777" w:rsidR="002F785F"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A283233" w14:textId="77777777" w:rsidR="002F785F"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2F785F">
          <w:rPr>
            <w:rFonts w:ascii="仿宋_GB2312" w:eastAsia="仿宋_GB2312" w:hAnsi="仿宋_GB2312" w:cs="仿宋_GB2312" w:hint="eastAsia"/>
            <w:b/>
            <w:bCs/>
            <w:sz w:val="32"/>
            <w:szCs w:val="32"/>
          </w:rPr>
          <w:t>第一部分 单位概况</w:t>
        </w:r>
      </w:hyperlink>
    </w:p>
    <w:p w14:paraId="331AA9DE"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20F36D3C"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5B26A7E" w14:textId="77777777" w:rsidR="002F785F" w:rsidRDefault="002F785F">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18AC397E"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22668D2"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36901628"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0AEDC84"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F4E8194"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61CDEB7F"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3D05415"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A368783"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78F99D47" w14:textId="77777777" w:rsidR="002F785F" w:rsidRDefault="002F785F">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B13B431"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DF477F7" w14:textId="77777777" w:rsidR="002F785F" w:rsidRDefault="002F785F">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6AB3978" w14:textId="77777777" w:rsidR="002F785F" w:rsidRDefault="002F785F">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1C851EF" w14:textId="77777777" w:rsidR="002F785F" w:rsidRDefault="002F785F">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2CFC3782"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62EA4F77"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51F76EE2" w14:textId="77777777" w:rsidR="002F785F" w:rsidRDefault="002F785F">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1C65A819" w14:textId="77777777" w:rsidR="002F785F" w:rsidRDefault="002F785F">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2EE9250"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56FC8A1"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7C70797E"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1F1BFAD"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2530EB7"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768452B"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3632666D"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46903B57" w14:textId="77777777" w:rsidR="002F785F" w:rsidRDefault="002F785F">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64146FB" w14:textId="77777777" w:rsidR="002F785F"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314CE4E0" w14:textId="77777777" w:rsidR="002F785F" w:rsidRDefault="00000000">
      <w:r>
        <w:rPr>
          <w:rFonts w:ascii="仿宋_GB2312" w:eastAsia="仿宋_GB2312" w:hAnsi="仿宋_GB2312" w:cs="仿宋_GB2312" w:hint="eastAsia"/>
          <w:sz w:val="32"/>
          <w:szCs w:val="32"/>
        </w:rPr>
        <w:fldChar w:fldCharType="end"/>
      </w:r>
    </w:p>
    <w:p w14:paraId="6DF5291C" w14:textId="77777777" w:rsidR="002F785F" w:rsidRDefault="00000000">
      <w:pPr>
        <w:rPr>
          <w:rFonts w:ascii="仿宋_GB2312" w:eastAsia="仿宋_GB2312"/>
          <w:sz w:val="32"/>
          <w:szCs w:val="32"/>
        </w:rPr>
      </w:pPr>
      <w:r>
        <w:rPr>
          <w:rFonts w:ascii="仿宋_GB2312" w:eastAsia="仿宋_GB2312" w:hint="eastAsia"/>
          <w:sz w:val="32"/>
          <w:szCs w:val="32"/>
        </w:rPr>
        <w:br w:type="page"/>
      </w:r>
    </w:p>
    <w:p w14:paraId="7136F8CD" w14:textId="77777777" w:rsidR="002F785F"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4F3C463" w14:textId="77777777" w:rsidR="002F785F"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5B586939" w14:textId="747F7C59" w:rsidR="00235A14" w:rsidRDefault="00235A14" w:rsidP="00890812">
      <w:pPr>
        <w:ind w:firstLineChars="200" w:firstLine="640"/>
        <w:jc w:val="left"/>
        <w:rPr>
          <w:rFonts w:ascii="仿宋_GB2312" w:eastAsia="仿宋_GB2312"/>
          <w:sz w:val="32"/>
          <w:szCs w:val="32"/>
        </w:rPr>
      </w:pPr>
      <w:bookmarkStart w:id="4" w:name="_Toc31238"/>
      <w:bookmarkStart w:id="5" w:name="_Toc2151"/>
      <w:r>
        <w:rPr>
          <w:rFonts w:ascii="仿宋_GB2312" w:eastAsia="仿宋_GB2312" w:hint="eastAsia"/>
          <w:sz w:val="32"/>
          <w:szCs w:val="32"/>
        </w:rPr>
        <w:t>木垒哈萨克自治县民族歌舞团</w:t>
      </w:r>
      <w:r w:rsidR="00000000">
        <w:rPr>
          <w:rFonts w:ascii="仿宋_GB2312" w:eastAsia="仿宋_GB2312" w:hint="eastAsia"/>
          <w:sz w:val="32"/>
          <w:szCs w:val="32"/>
        </w:rPr>
        <w:t>承担创作演出民族歌舞剧（节目），发展民族文化艺术。承担创作表演舞台艺术作品；负责艺术研究与普及推广工作。负责民族民间艺术作品收集整理与保护工作。参与公共文化活动、培养优秀艺术人才工作。</w:t>
      </w:r>
    </w:p>
    <w:p w14:paraId="76C1E3CD" w14:textId="437785E5"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完成木垒县文化体育广播电视和旅游局交办的其他任务。</w:t>
      </w:r>
    </w:p>
    <w:p w14:paraId="074D2783" w14:textId="77777777" w:rsidR="002F785F"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5F17FC4"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木垒哈萨克自治县民族歌舞团2023年度，实有人数</w:t>
      </w:r>
      <w:r>
        <w:rPr>
          <w:rFonts w:ascii="仿宋_GB2312" w:eastAsia="仿宋_GB2312" w:hint="eastAsia"/>
          <w:sz w:val="32"/>
          <w:szCs w:val="32"/>
          <w:lang w:val="zh-CN"/>
        </w:rPr>
        <w:t>26</w:t>
      </w:r>
      <w:r>
        <w:rPr>
          <w:rFonts w:ascii="仿宋_GB2312" w:eastAsia="仿宋_GB2312" w:hint="eastAsia"/>
          <w:sz w:val="32"/>
          <w:szCs w:val="32"/>
        </w:rPr>
        <w:t>人，其中：在职人员</w:t>
      </w:r>
      <w:r>
        <w:rPr>
          <w:rFonts w:ascii="仿宋_GB2312" w:eastAsia="仿宋_GB2312" w:hint="eastAsia"/>
          <w:sz w:val="32"/>
          <w:szCs w:val="32"/>
          <w:lang w:val="zh-CN"/>
        </w:rPr>
        <w:t>17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9</w:t>
      </w:r>
      <w:r>
        <w:rPr>
          <w:rFonts w:ascii="仿宋_GB2312" w:eastAsia="仿宋_GB2312" w:hint="eastAsia"/>
          <w:sz w:val="32"/>
          <w:szCs w:val="32"/>
        </w:rPr>
        <w:t>人。</w:t>
      </w:r>
    </w:p>
    <w:p w14:paraId="0CBF5E5E" w14:textId="74CE0499" w:rsidR="002F785F" w:rsidRDefault="00000000">
      <w:pPr>
        <w:ind w:firstLineChars="200" w:firstLine="640"/>
        <w:rPr>
          <w:rFonts w:ascii="仿宋_GB2312" w:eastAsia="仿宋_GB2312" w:hAnsi="宋体" w:cs="宋体" w:hint="eastAsia"/>
          <w:kern w:val="0"/>
          <w:sz w:val="32"/>
          <w:szCs w:val="32"/>
        </w:rPr>
        <w:sectPr w:rsidR="002F785F">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2</w:t>
      </w:r>
      <w:r>
        <w:rPr>
          <w:rFonts w:ascii="仿宋_GB2312" w:eastAsia="仿宋_GB2312" w:hAnsi="黑体" w:cs="宋体" w:hint="eastAsia"/>
          <w:bCs/>
          <w:kern w:val="0"/>
          <w:sz w:val="32"/>
          <w:szCs w:val="32"/>
        </w:rPr>
        <w:t>个处室，分别是：办公室</w:t>
      </w:r>
      <w:r w:rsidR="00235A14">
        <w:rPr>
          <w:rFonts w:ascii="仿宋_GB2312" w:eastAsia="仿宋_GB2312" w:hAnsi="黑体" w:cs="宋体" w:hint="eastAsia"/>
          <w:bCs/>
          <w:kern w:val="0"/>
          <w:sz w:val="32"/>
          <w:szCs w:val="32"/>
        </w:rPr>
        <w:t>、</w:t>
      </w:r>
      <w:r>
        <w:rPr>
          <w:rFonts w:ascii="仿宋_GB2312" w:eastAsia="仿宋_GB2312" w:hAnsi="黑体" w:cs="宋体" w:hint="eastAsia"/>
          <w:bCs/>
          <w:kern w:val="0"/>
          <w:sz w:val="32"/>
          <w:szCs w:val="32"/>
        </w:rPr>
        <w:t>业务室</w:t>
      </w:r>
      <w:r>
        <w:rPr>
          <w:rFonts w:ascii="仿宋_GB2312" w:eastAsia="仿宋_GB2312" w:hAnsi="宋体" w:cs="宋体" w:hint="eastAsia"/>
          <w:kern w:val="0"/>
          <w:sz w:val="32"/>
          <w:szCs w:val="32"/>
        </w:rPr>
        <w:t>。</w:t>
      </w:r>
    </w:p>
    <w:p w14:paraId="2493FFA9" w14:textId="77777777" w:rsidR="002F785F"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5CC3C31F" w14:textId="77777777" w:rsidR="002F785F"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5D215619"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2023年度收入总计358.61万元，其中：本年收入合计358.61万元，使用非财政拨款结余0.00万元，年初结转和结余0.00万元。</w:t>
      </w:r>
    </w:p>
    <w:p w14:paraId="62F0F51E"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2023年度支出总计358.61万元，其中：本年支出合计358.61万元，结余分配0.00万元，年末结转和结余0.00万元。</w:t>
      </w:r>
    </w:p>
    <w:p w14:paraId="50F8594A" w14:textId="3DCB95EB"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增加4.2</w:t>
      </w:r>
      <w:r w:rsidR="003A44CA">
        <w:rPr>
          <w:rFonts w:ascii="仿宋_GB2312" w:eastAsia="仿宋_GB2312" w:hint="eastAsia"/>
          <w:sz w:val="32"/>
          <w:szCs w:val="32"/>
          <w:lang w:val="zh-CN"/>
        </w:rPr>
        <w:t>1</w:t>
      </w:r>
      <w:r>
        <w:rPr>
          <w:rFonts w:ascii="仿宋_GB2312" w:eastAsia="仿宋_GB2312" w:hint="eastAsia"/>
          <w:sz w:val="32"/>
          <w:szCs w:val="32"/>
          <w:lang w:val="zh-CN"/>
        </w:rPr>
        <w:t>万元</w:t>
      </w:r>
      <w:r>
        <w:rPr>
          <w:rFonts w:ascii="仿宋_GB2312" w:eastAsia="仿宋_GB2312" w:hint="eastAsia"/>
          <w:sz w:val="32"/>
          <w:szCs w:val="32"/>
        </w:rPr>
        <w:t>，增长1.19%，主要原因是：单位本年补发2022年抚恤金和2022年度退休费。</w:t>
      </w:r>
    </w:p>
    <w:p w14:paraId="62863A1B" w14:textId="77777777" w:rsidR="002F785F"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52700FEC" w14:textId="49F12EB1"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本年收入358.61万元，其中：财政拨款收入358.61万元，占100.00%；上级补助收入0.00万元，占0.00%；事业收入0.00万元，占0.00%；经营收入0.00万元，占0.00%；附属单位上缴收入0.00万元，占0.00%；其他收入0.0</w:t>
      </w:r>
      <w:r w:rsidR="002B2D04">
        <w:rPr>
          <w:rFonts w:ascii="仿宋_GB2312" w:eastAsia="仿宋_GB2312" w:hint="eastAsia"/>
          <w:sz w:val="32"/>
          <w:szCs w:val="32"/>
          <w:lang w:val="zh-CN"/>
        </w:rPr>
        <w:t>0</w:t>
      </w:r>
      <w:r>
        <w:rPr>
          <w:rFonts w:ascii="仿宋_GB2312" w:eastAsia="仿宋_GB2312" w:hint="eastAsia"/>
          <w:sz w:val="32"/>
          <w:szCs w:val="32"/>
          <w:lang w:val="zh-CN"/>
        </w:rPr>
        <w:t>万元，占0.00%。</w:t>
      </w:r>
    </w:p>
    <w:p w14:paraId="301FC314" w14:textId="77777777" w:rsidR="002F785F"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4D8B90C9" w14:textId="77777777"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本年支出358.61万元，其中：基本支出358.61万元，占100.00%；项目支出0.00万元，占0.00%；上缴上级支出0.00万元，占0.00%；经营支出0.00万元，占0.00%；对附属单位补助支出0.00万元，占0.00%。</w:t>
      </w:r>
    </w:p>
    <w:p w14:paraId="7E3E4389" w14:textId="77777777" w:rsidR="002F785F"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35B1DAC7"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358.61</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358.61</w:t>
      </w:r>
      <w:r>
        <w:rPr>
          <w:rFonts w:ascii="仿宋_GB2312" w:eastAsia="仿宋_GB2312" w:hint="eastAsia"/>
          <w:sz w:val="32"/>
          <w:szCs w:val="32"/>
        </w:rPr>
        <w:t>万元。财政拨款支出总计</w:t>
      </w:r>
      <w:r>
        <w:rPr>
          <w:rFonts w:ascii="仿宋_GB2312" w:eastAsia="仿宋_GB2312" w:hint="eastAsia"/>
          <w:sz w:val="32"/>
          <w:szCs w:val="32"/>
          <w:lang w:val="zh-CN"/>
        </w:rPr>
        <w:t>358.61</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358.61</w:t>
      </w:r>
      <w:r>
        <w:rPr>
          <w:rFonts w:ascii="仿宋_GB2312" w:eastAsia="仿宋_GB2312" w:hint="eastAsia"/>
          <w:sz w:val="32"/>
          <w:szCs w:val="32"/>
        </w:rPr>
        <w:t>万元。</w:t>
      </w:r>
    </w:p>
    <w:p w14:paraId="0322CF73"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增加4.21万元</w:t>
      </w:r>
      <w:r>
        <w:rPr>
          <w:rFonts w:ascii="仿宋_GB2312" w:eastAsia="仿宋_GB2312" w:hint="eastAsia"/>
          <w:sz w:val="32"/>
          <w:szCs w:val="32"/>
        </w:rPr>
        <w:t>，增长1.19%,主要原因是：单位本年补发2022年抚恤金和2022年度退休费。与年初预算相比，年初预算数</w:t>
      </w:r>
      <w:r>
        <w:rPr>
          <w:rFonts w:ascii="仿宋_GB2312" w:eastAsia="仿宋_GB2312" w:hint="eastAsia"/>
          <w:sz w:val="32"/>
          <w:szCs w:val="32"/>
          <w:lang w:val="zh-CN"/>
        </w:rPr>
        <w:t>342.18</w:t>
      </w:r>
      <w:r>
        <w:rPr>
          <w:rFonts w:ascii="仿宋_GB2312" w:eastAsia="仿宋_GB2312" w:hint="eastAsia"/>
          <w:sz w:val="32"/>
          <w:szCs w:val="32"/>
        </w:rPr>
        <w:t>万元，决算数</w:t>
      </w:r>
      <w:r>
        <w:rPr>
          <w:rFonts w:ascii="仿宋_GB2312" w:eastAsia="仿宋_GB2312" w:hint="eastAsia"/>
          <w:sz w:val="32"/>
          <w:szCs w:val="32"/>
          <w:lang w:val="zh-CN"/>
        </w:rPr>
        <w:t>358.61</w:t>
      </w:r>
      <w:r>
        <w:rPr>
          <w:rFonts w:ascii="仿宋_GB2312" w:eastAsia="仿宋_GB2312" w:hint="eastAsia"/>
          <w:sz w:val="32"/>
          <w:szCs w:val="32"/>
        </w:rPr>
        <w:t>万元，预决算差异率4.80%，主要原因是：</w:t>
      </w:r>
      <w:r>
        <w:rPr>
          <w:rFonts w:ascii="仿宋_GB2312" w:eastAsia="仿宋_GB2312" w:hint="eastAsia"/>
          <w:sz w:val="32"/>
          <w:szCs w:val="32"/>
          <w:lang w:val="zh-CN"/>
        </w:rPr>
        <w:t>单位本年人员工资调整，相应工资、津贴补贴、奖金增加</w:t>
      </w:r>
      <w:r>
        <w:rPr>
          <w:rFonts w:ascii="仿宋_GB2312" w:eastAsia="仿宋_GB2312" w:hint="eastAsia"/>
          <w:sz w:val="32"/>
          <w:szCs w:val="32"/>
        </w:rPr>
        <w:t>。</w:t>
      </w:r>
    </w:p>
    <w:p w14:paraId="697D295E" w14:textId="77777777" w:rsidR="002F785F"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01A8FD01" w14:textId="77777777" w:rsidR="002F785F"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AFED186"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2023年度一般公共预算财政拨款支出358.61万元，占本年支出合计的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增加4.21万元</w:t>
      </w:r>
      <w:r>
        <w:rPr>
          <w:rFonts w:ascii="仿宋_GB2312" w:eastAsia="仿宋_GB2312" w:hint="eastAsia"/>
          <w:sz w:val="32"/>
          <w:szCs w:val="32"/>
        </w:rPr>
        <w:t>，增长1.19%,主要原因是：单位本年补发2022年抚恤金和2022年度退休费</w:t>
      </w:r>
      <w:r>
        <w:rPr>
          <w:rFonts w:ascii="仿宋_GB2312" w:eastAsia="仿宋_GB2312" w:hint="eastAsia"/>
          <w:sz w:val="32"/>
          <w:szCs w:val="32"/>
          <w:lang w:val="zh-CN"/>
        </w:rPr>
        <w:t>。</w:t>
      </w:r>
      <w:r>
        <w:rPr>
          <w:rFonts w:ascii="仿宋_GB2312" w:eastAsia="仿宋_GB2312" w:hint="eastAsia"/>
          <w:sz w:val="32"/>
          <w:szCs w:val="32"/>
        </w:rPr>
        <w:t>与年初预算相比，年初预算数</w:t>
      </w:r>
      <w:r>
        <w:rPr>
          <w:rFonts w:ascii="仿宋_GB2312" w:eastAsia="仿宋_GB2312" w:hint="eastAsia"/>
          <w:sz w:val="32"/>
          <w:szCs w:val="32"/>
          <w:lang w:val="zh-CN"/>
        </w:rPr>
        <w:t>342.18</w:t>
      </w:r>
      <w:r>
        <w:rPr>
          <w:rFonts w:ascii="仿宋_GB2312" w:eastAsia="仿宋_GB2312" w:hint="eastAsia"/>
          <w:sz w:val="32"/>
          <w:szCs w:val="32"/>
        </w:rPr>
        <w:t>万元，决算数</w:t>
      </w:r>
      <w:r>
        <w:rPr>
          <w:rFonts w:ascii="仿宋_GB2312" w:eastAsia="仿宋_GB2312" w:hint="eastAsia"/>
          <w:sz w:val="32"/>
          <w:szCs w:val="32"/>
          <w:lang w:val="zh-CN"/>
        </w:rPr>
        <w:t>358.61</w:t>
      </w:r>
      <w:r>
        <w:rPr>
          <w:rFonts w:ascii="仿宋_GB2312" w:eastAsia="仿宋_GB2312" w:hint="eastAsia"/>
          <w:sz w:val="32"/>
          <w:szCs w:val="32"/>
        </w:rPr>
        <w:t>万元，预决算差异率</w:t>
      </w:r>
      <w:r>
        <w:rPr>
          <w:rFonts w:ascii="仿宋_GB2312" w:eastAsia="仿宋_GB2312" w:hint="eastAsia"/>
          <w:sz w:val="32"/>
          <w:szCs w:val="32"/>
          <w:lang w:val="zh-CN"/>
        </w:rPr>
        <w:t>4.80%</w:t>
      </w:r>
      <w:r>
        <w:rPr>
          <w:rFonts w:ascii="仿宋_GB2312" w:eastAsia="仿宋_GB2312" w:hint="eastAsia"/>
          <w:sz w:val="32"/>
          <w:szCs w:val="32"/>
        </w:rPr>
        <w:t>，主要原因是：</w:t>
      </w:r>
      <w:r>
        <w:rPr>
          <w:rFonts w:ascii="仿宋_GB2312" w:eastAsia="仿宋_GB2312" w:hint="eastAsia"/>
          <w:sz w:val="32"/>
          <w:szCs w:val="32"/>
          <w:lang w:val="zh-CN"/>
        </w:rPr>
        <w:t>单位本年人员工资调整，相应工资、津贴补贴、奖金增加</w:t>
      </w:r>
      <w:r>
        <w:rPr>
          <w:rFonts w:ascii="仿宋_GB2312" w:eastAsia="仿宋_GB2312" w:hint="eastAsia"/>
          <w:sz w:val="32"/>
          <w:szCs w:val="32"/>
        </w:rPr>
        <w:t>。</w:t>
      </w:r>
    </w:p>
    <w:p w14:paraId="2CB8EA6F" w14:textId="77777777" w:rsidR="002F785F"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D0660B7" w14:textId="77777777" w:rsidR="002F785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348.01</w:t>
      </w:r>
      <w:r>
        <w:rPr>
          <w:rFonts w:ascii="仿宋_GB2312" w:eastAsia="仿宋_GB2312"/>
          <w:kern w:val="2"/>
          <w:sz w:val="32"/>
          <w:szCs w:val="32"/>
          <w:lang w:val="zh-CN"/>
        </w:rPr>
        <w:t>万元，占</w:t>
      </w:r>
      <w:r>
        <w:rPr>
          <w:rFonts w:ascii="仿宋_GB2312" w:eastAsia="仿宋_GB2312" w:hint="eastAsia"/>
          <w:kern w:val="2"/>
          <w:sz w:val="32"/>
          <w:szCs w:val="32"/>
          <w:lang w:val="zh-CN"/>
        </w:rPr>
        <w:t>97.04</w:t>
      </w:r>
      <w:r>
        <w:rPr>
          <w:rFonts w:ascii="仿宋_GB2312" w:eastAsia="仿宋_GB2312"/>
          <w:kern w:val="2"/>
          <w:sz w:val="32"/>
          <w:szCs w:val="32"/>
          <w:lang w:val="zh-CN"/>
        </w:rPr>
        <w:t>%；</w:t>
      </w:r>
    </w:p>
    <w:p w14:paraId="08B935C2" w14:textId="77777777" w:rsidR="002F785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10.60</w:t>
      </w:r>
      <w:r>
        <w:rPr>
          <w:rFonts w:ascii="仿宋_GB2312" w:eastAsia="仿宋_GB2312"/>
          <w:kern w:val="2"/>
          <w:sz w:val="32"/>
          <w:szCs w:val="32"/>
          <w:lang w:val="zh-CN"/>
        </w:rPr>
        <w:t>万元，占</w:t>
      </w:r>
      <w:r>
        <w:rPr>
          <w:rFonts w:ascii="仿宋_GB2312" w:eastAsia="仿宋_GB2312" w:hint="eastAsia"/>
          <w:kern w:val="2"/>
          <w:sz w:val="32"/>
          <w:szCs w:val="32"/>
          <w:lang w:val="zh-CN"/>
        </w:rPr>
        <w:t>2.96</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44500ED2" w14:textId="77777777" w:rsidR="002F785F"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4E5562BC" w14:textId="77777777"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1.社会保障和就业支出（类）抚恤（款）死亡抚恤（项）:支出决算数为1.15万元，比上年决算增加1.15万元，增长100%，主要原因是：单位本年补发遗属人员2022年抚恤金</w:t>
      </w:r>
      <w:r>
        <w:rPr>
          <w:rFonts w:ascii="仿宋_GB2312" w:eastAsia="仿宋_GB2312" w:hint="eastAsia"/>
          <w:sz w:val="32"/>
          <w:szCs w:val="32"/>
          <w:lang w:val="zh-CN"/>
        </w:rPr>
        <w:t>。</w:t>
      </w:r>
    </w:p>
    <w:p w14:paraId="3CB994F9" w14:textId="77777777"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2.社会保障和就业支出（类）行政事业单位养老支出（款）事业单位离退休（项）:支出决算数为3.00万元，比上年决算增加1.95万元，增长185.08%，主要原因是：单位本年补发退休人员2022年度退休费</w:t>
      </w:r>
      <w:r>
        <w:rPr>
          <w:rFonts w:ascii="仿宋_GB2312" w:eastAsia="仿宋_GB2312" w:hint="eastAsia"/>
          <w:sz w:val="32"/>
          <w:szCs w:val="32"/>
          <w:lang w:val="zh-CN"/>
        </w:rPr>
        <w:t>。</w:t>
      </w:r>
    </w:p>
    <w:p w14:paraId="3694E3A8" w14:textId="77777777"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3.文化旅游体育与传媒支出（类）文化和旅游（款）艺术表演团体（项）:支出决算数为348.01万元，比上年决算增加54.23万元，增长18.46%，主要原因是：</w:t>
      </w:r>
      <w:r>
        <w:rPr>
          <w:rFonts w:ascii="仿宋_GB2312" w:eastAsia="仿宋_GB2312" w:hint="eastAsia"/>
          <w:sz w:val="32"/>
          <w:szCs w:val="32"/>
          <w:lang w:val="zh-CN"/>
        </w:rPr>
        <w:t>单位本年人员工资调整，相应工资、津贴补贴、奖金增加。</w:t>
      </w:r>
    </w:p>
    <w:p w14:paraId="08EE7DA6" w14:textId="3F843C92"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4.社会保障和就业支出（类）行政事业单位养老支出（款）机关事业单位职业年金缴费支出（项）:支出决算数为6.45万元，比上年决算减少1.05万元，下降14.00%，主要原因是：单位本年退休人员</w:t>
      </w:r>
      <w:r w:rsidR="00235A14">
        <w:rPr>
          <w:rFonts w:ascii="仿宋_GB2312" w:eastAsia="仿宋_GB2312" w:hint="eastAsia"/>
          <w:sz w:val="32"/>
          <w:szCs w:val="32"/>
        </w:rPr>
        <w:t>减少，职业年金缴费减少</w:t>
      </w:r>
      <w:r>
        <w:rPr>
          <w:rFonts w:ascii="仿宋_GB2312" w:eastAsia="仿宋_GB2312" w:hint="eastAsia"/>
          <w:sz w:val="32"/>
          <w:szCs w:val="32"/>
          <w:lang w:val="zh-CN"/>
        </w:rPr>
        <w:t>。</w:t>
      </w:r>
    </w:p>
    <w:p w14:paraId="40570612" w14:textId="5184387F"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5.住房保障支出（类）住房改革支出（款）住房公积金（项）:支出决算数为0.00万元，比上年决算减少22.95万元，下降100%，主要原因是：</w:t>
      </w:r>
      <w:r w:rsidR="00890812" w:rsidRPr="00890812">
        <w:rPr>
          <w:rFonts w:ascii="仿宋_GB2312" w:eastAsia="仿宋_GB2312" w:hint="eastAsia"/>
          <w:sz w:val="32"/>
          <w:szCs w:val="32"/>
        </w:rPr>
        <w:t>本年科目调整，本年此科目</w:t>
      </w:r>
      <w:r w:rsidR="00890812">
        <w:rPr>
          <w:rFonts w:ascii="仿宋_GB2312" w:eastAsia="仿宋_GB2312" w:hint="eastAsia"/>
          <w:sz w:val="32"/>
          <w:szCs w:val="32"/>
        </w:rPr>
        <w:t>并入主款</w:t>
      </w:r>
      <w:r>
        <w:rPr>
          <w:rFonts w:ascii="仿宋_GB2312" w:eastAsia="仿宋_GB2312" w:hint="eastAsia"/>
          <w:sz w:val="32"/>
          <w:szCs w:val="32"/>
          <w:lang w:val="zh-CN"/>
        </w:rPr>
        <w:t>。</w:t>
      </w:r>
    </w:p>
    <w:p w14:paraId="6590C64A" w14:textId="302D27DD"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6.社会保障和就业支出（类）行政事业单位养老支出（款）机关事业单位基本养老保险缴费支出（项）:支出决</w:t>
      </w:r>
      <w:r>
        <w:rPr>
          <w:rFonts w:ascii="仿宋_GB2312" w:eastAsia="仿宋_GB2312" w:hint="eastAsia"/>
          <w:sz w:val="32"/>
          <w:szCs w:val="32"/>
        </w:rPr>
        <w:lastRenderedPageBreak/>
        <w:t>算数为0.00万元，比上年决算减少29.12万元，下降100%，主要原因是：</w:t>
      </w:r>
      <w:r w:rsidR="00890812" w:rsidRPr="00890812">
        <w:rPr>
          <w:rFonts w:ascii="仿宋_GB2312" w:eastAsia="仿宋_GB2312" w:hint="eastAsia"/>
          <w:sz w:val="32"/>
          <w:szCs w:val="32"/>
        </w:rPr>
        <w:t>本年科目调整，本年此科目</w:t>
      </w:r>
      <w:r w:rsidR="00890812">
        <w:rPr>
          <w:rFonts w:ascii="仿宋_GB2312" w:eastAsia="仿宋_GB2312" w:hint="eastAsia"/>
          <w:sz w:val="32"/>
          <w:szCs w:val="32"/>
        </w:rPr>
        <w:t>并入主款</w:t>
      </w:r>
      <w:r>
        <w:rPr>
          <w:rFonts w:eastAsia="仿宋_GB2312" w:hint="eastAsia"/>
          <w:color w:val="000000" w:themeColor="text1"/>
          <w:sz w:val="32"/>
          <w:szCs w:val="32"/>
          <w:lang w:val="zh-CN"/>
        </w:rPr>
        <w:t>。</w:t>
      </w:r>
    </w:p>
    <w:p w14:paraId="7E13F858" w14:textId="77777777" w:rsidR="002F785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F2B44A6"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358.61万元，其中：人员经费350.84万元，包括：基本工资、津贴补贴、奖金、机关事业单位基本养老保险缴费、职业年金缴费、职工基本医疗保险缴费、其他社会保障缴费、住房公积金、其他工资福利支出、退休费、生活补助、奖励金、其他对个人和家庭的补助。</w:t>
      </w:r>
    </w:p>
    <w:p w14:paraId="19F577BD" w14:textId="77777777" w:rsidR="002F785F"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公用经费7.77万元，包括：办公费、邮电费、租赁费、劳务费、其他商品和服务支出。</w:t>
      </w:r>
    </w:p>
    <w:p w14:paraId="78FF428E" w14:textId="77777777" w:rsidR="002F785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3A94AED" w14:textId="434C058F"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w:t>
      </w:r>
    </w:p>
    <w:p w14:paraId="40AC645A" w14:textId="77777777"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3092AD15" w14:textId="2686B5B8"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因公出国（境）费支出0.00万元，开支内容包括</w:t>
      </w:r>
      <w:r w:rsidR="00235A14">
        <w:rPr>
          <w:rFonts w:ascii="仿宋_GB2312" w:eastAsia="仿宋_GB2312" w:hint="eastAsia"/>
          <w:sz w:val="32"/>
          <w:szCs w:val="32"/>
        </w:rPr>
        <w:t>单位本年无此项经费</w:t>
      </w:r>
      <w:r>
        <w:rPr>
          <w:rFonts w:ascii="仿宋_GB2312" w:eastAsia="仿宋_GB2312" w:hint="eastAsia"/>
          <w:sz w:val="32"/>
          <w:szCs w:val="32"/>
          <w:lang w:val="zh-CN"/>
        </w:rPr>
        <w:t>。单位全年安排的因公出国（境）团组0个，因公出国（境）0人次。</w:t>
      </w:r>
    </w:p>
    <w:p w14:paraId="0606D70C" w14:textId="5453C665"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235A14">
        <w:rPr>
          <w:rFonts w:ascii="仿宋_GB2312" w:eastAsia="仿宋_GB2312" w:hint="eastAsia"/>
          <w:sz w:val="32"/>
          <w:szCs w:val="32"/>
        </w:rPr>
        <w:t>单位本年无此项经费</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890812" w:rsidRPr="00890812">
        <w:rPr>
          <w:rFonts w:ascii="仿宋_GB2312" w:eastAsia="仿宋_GB2312" w:hint="eastAsia"/>
          <w:sz w:val="32"/>
          <w:szCs w:val="32"/>
        </w:rPr>
        <w:t>本单位固定资产车辆与公务用车保有量一致无差异</w:t>
      </w:r>
      <w:r>
        <w:rPr>
          <w:rFonts w:ascii="仿宋_GB2312" w:eastAsia="仿宋_GB2312" w:hint="eastAsia"/>
          <w:sz w:val="32"/>
          <w:szCs w:val="32"/>
          <w:lang w:val="zh-CN"/>
        </w:rPr>
        <w:t>。</w:t>
      </w:r>
    </w:p>
    <w:p w14:paraId="4F74A7B9" w14:textId="1A96EA95"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235A14">
        <w:rPr>
          <w:rFonts w:ascii="仿宋_GB2312" w:eastAsia="仿宋_GB2312" w:hint="eastAsia"/>
          <w:sz w:val="32"/>
          <w:szCs w:val="32"/>
        </w:rPr>
        <w:t>单位本年无此项经费</w:t>
      </w:r>
      <w:r>
        <w:rPr>
          <w:rFonts w:ascii="仿宋_GB2312" w:eastAsia="仿宋_GB2312" w:hint="eastAsia"/>
          <w:sz w:val="32"/>
          <w:szCs w:val="32"/>
          <w:lang w:val="zh-CN"/>
        </w:rPr>
        <w:t>。单位全年安排的国内公务接待0批次，0人次。</w:t>
      </w:r>
    </w:p>
    <w:p w14:paraId="49533F2B" w14:textId="7147F63A"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w:t>
      </w:r>
    </w:p>
    <w:p w14:paraId="19AB4218" w14:textId="77777777" w:rsidR="002F785F"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lastRenderedPageBreak/>
        <w:t>八、政府性基金预算财政拨款收入支出决算情况说明</w:t>
      </w:r>
      <w:bookmarkEnd w:id="18"/>
      <w:bookmarkEnd w:id="19"/>
    </w:p>
    <w:p w14:paraId="5A1354A8"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32A384E1" w14:textId="77777777" w:rsidR="002F785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62D6908"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72321B6" w14:textId="77777777" w:rsidR="002F785F"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79D119BB" w14:textId="77777777" w:rsidR="002F785F"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5D51A3C" w14:textId="4C16635B" w:rsidR="002F785F"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lang w:val="zh-CN"/>
        </w:rPr>
        <w:t>2023年度</w:t>
      </w:r>
      <w:r>
        <w:rPr>
          <w:rFonts w:ascii="仿宋_GB2312" w:eastAsia="仿宋_GB2312" w:hint="eastAsia"/>
          <w:sz w:val="32"/>
          <w:szCs w:val="32"/>
        </w:rPr>
        <w:t>木垒哈萨克自治县民族歌舞团（事业单位）公用经费支出7.77万元，</w:t>
      </w:r>
      <w:r>
        <w:rPr>
          <w:rFonts w:ascii="仿宋_GB2312" w:eastAsia="仿宋_GB2312" w:hint="eastAsia"/>
          <w:sz w:val="32"/>
          <w:szCs w:val="32"/>
          <w:lang w:val="zh-CN"/>
        </w:rPr>
        <w:t>比上年增加2.27万元，增长41.27%，主要原因是：</w:t>
      </w:r>
      <w:r>
        <w:rPr>
          <w:rFonts w:ascii="仿宋_GB2312" w:eastAsia="仿宋_GB2312" w:hint="eastAsia"/>
          <w:sz w:val="32"/>
          <w:szCs w:val="32"/>
        </w:rPr>
        <w:t>单位本年</w:t>
      </w:r>
      <w:r w:rsidR="00235A14">
        <w:rPr>
          <w:rFonts w:ascii="仿宋_GB2312" w:eastAsia="仿宋_GB2312" w:hint="eastAsia"/>
          <w:sz w:val="32"/>
          <w:szCs w:val="32"/>
        </w:rPr>
        <w:t>办公费、邮电费、租赁费、劳务费</w:t>
      </w:r>
      <w:r>
        <w:rPr>
          <w:rFonts w:ascii="仿宋_GB2312" w:eastAsia="仿宋_GB2312" w:hint="eastAsia"/>
          <w:sz w:val="32"/>
          <w:szCs w:val="32"/>
        </w:rPr>
        <w:t>较上年增加。</w:t>
      </w:r>
    </w:p>
    <w:p w14:paraId="3B5C6104" w14:textId="77777777" w:rsidR="002F785F"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2029B89" w14:textId="77777777"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2023年度政府采购支出总额0.00万元，其中：政府采购货物支出0.00万元、政府采购工程支出0.00万元、政府采购服务支出0.00万元。</w:t>
      </w:r>
    </w:p>
    <w:p w14:paraId="1915C2BE"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授予中小企业合同金额0.00万元，占政府采购支出总额的0.00</w:t>
      </w:r>
      <w:r>
        <w:rPr>
          <w:rFonts w:ascii="仿宋_GB2312" w:eastAsia="仿宋_GB2312"/>
          <w:sz w:val="32"/>
          <w:szCs w:val="32"/>
          <w:lang w:val="zh-CN"/>
        </w:rPr>
        <w:t>%</w:t>
      </w:r>
      <w:r>
        <w:rPr>
          <w:rFonts w:ascii="仿宋_GB2312" w:eastAsia="仿宋_GB2312" w:hint="eastAsia"/>
          <w:sz w:val="32"/>
          <w:szCs w:val="32"/>
          <w:lang w:val="zh-CN"/>
        </w:rPr>
        <w:t>，其中：授予小微企业合同金额0.00万元，占政府采购支出总额的0.00</w:t>
      </w:r>
      <w:r>
        <w:rPr>
          <w:rFonts w:ascii="仿宋_GB2312" w:eastAsia="仿宋_GB2312"/>
          <w:sz w:val="32"/>
          <w:szCs w:val="32"/>
          <w:lang w:val="zh-CN"/>
        </w:rPr>
        <w:t>%</w:t>
      </w:r>
      <w:r>
        <w:rPr>
          <w:rFonts w:ascii="仿宋_GB2312" w:eastAsia="仿宋_GB2312" w:hint="eastAsia"/>
          <w:sz w:val="32"/>
          <w:szCs w:val="32"/>
        </w:rPr>
        <w:t>。</w:t>
      </w:r>
    </w:p>
    <w:p w14:paraId="72DCC30B" w14:textId="77777777" w:rsidR="002F785F"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1A337CE7" w14:textId="77777777"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lastRenderedPageBreak/>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60.77</w:t>
      </w:r>
      <w:r>
        <w:rPr>
          <w:rFonts w:ascii="仿宋_GB2312" w:eastAsia="仿宋_GB2312" w:hint="eastAsia"/>
          <w:sz w:val="32"/>
          <w:szCs w:val="32"/>
        </w:rPr>
        <w:t>万元，房</w:t>
      </w:r>
      <w:r>
        <w:rPr>
          <w:rFonts w:ascii="仿宋_GB2312" w:eastAsia="仿宋_GB2312" w:hint="eastAsia"/>
          <w:sz w:val="32"/>
          <w:szCs w:val="32"/>
          <w:lang w:val="zh-CN"/>
        </w:rPr>
        <w:t>屋0.</w:t>
      </w:r>
      <w:r>
        <w:rPr>
          <w:rFonts w:ascii="仿宋_GB2312" w:eastAsia="仿宋_GB2312" w:hint="eastAsia"/>
          <w:sz w:val="32"/>
          <w:szCs w:val="32"/>
        </w:rPr>
        <w:t>0</w:t>
      </w:r>
      <w:r>
        <w:rPr>
          <w:rFonts w:ascii="仿宋_GB2312" w:eastAsia="仿宋_GB2312" w:hint="eastAsia"/>
          <w:sz w:val="32"/>
          <w:szCs w:val="32"/>
          <w:lang w:val="zh-CN"/>
        </w:rPr>
        <w:t>0平方米，价值0.00万元。车辆0辆，价值0.00万元，其中：副部（省）级及以上领导用车0辆、主要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单位本年无其他用车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444B5FCB" w14:textId="77777777" w:rsidR="002F785F"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1AA6B93A" w14:textId="48BE3486"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预算绩效管理整体支出绩效自评表1个，全年预算总额358.61万元，实际执行总额358.61万元；预算绩效评价项目0个，全年预算数0.00万元，全年执行数0.00万元。预算绩效管理取得的成效：一是</w:t>
      </w:r>
      <w:r>
        <w:rPr>
          <w:rFonts w:ascii="仿宋_GB2312" w:eastAsia="仿宋_GB2312" w:hAnsi="宋体" w:hint="eastAsia"/>
          <w:bCs/>
          <w:color w:val="000000" w:themeColor="text1"/>
          <w:sz w:val="32"/>
          <w:szCs w:val="32"/>
        </w:rPr>
        <w:t>我单位通过加强预算收支管理，不断建立健全内部管理制度，梳理内部管理流程，部门整体支出管理情况得到提升</w:t>
      </w:r>
      <w:r>
        <w:rPr>
          <w:rStyle w:val="a7"/>
          <w:rFonts w:ascii="仿宋_GB2312" w:eastAsia="仿宋_GB2312" w:hAnsi="仿宋_GB2312" w:cs="仿宋_GB2312" w:hint="eastAsia"/>
          <w:b w:val="0"/>
          <w:bCs/>
          <w:color w:val="000000" w:themeColor="text1"/>
          <w:sz w:val="32"/>
          <w:szCs w:val="32"/>
          <w:lang w:bidi="ar"/>
        </w:rPr>
        <w:t>；</w:t>
      </w:r>
      <w:r>
        <w:rPr>
          <w:rFonts w:ascii="仿宋_GB2312" w:eastAsia="仿宋_GB2312" w:hint="eastAsia"/>
          <w:sz w:val="32"/>
          <w:szCs w:val="32"/>
        </w:rPr>
        <w:t>二是</w:t>
      </w:r>
      <w:r>
        <w:rPr>
          <w:rFonts w:ascii="仿宋_GB2312" w:eastAsia="仿宋_GB2312" w:hAnsi="宋体" w:hint="eastAsia"/>
          <w:color w:val="000000" w:themeColor="text1"/>
          <w:sz w:val="32"/>
          <w:szCs w:val="32"/>
        </w:rPr>
        <w:t>将预算及时公开到相关的信息网络平台，并在执行过程中积极对执行情况进行监控，对预算的资金进行全方位的监督和管理，使每一笔资金都能起到最大的使用效益。结合我团实际情况合理分配资金，以达到合理高效地运用资金、提升资金的产出效果、节约成本与资源、提高部门的办事效率的目的。</w:t>
      </w:r>
      <w:r>
        <w:rPr>
          <w:rFonts w:ascii="仿宋_GB2312" w:eastAsia="仿宋_GB2312" w:hint="eastAsia"/>
          <w:sz w:val="32"/>
          <w:szCs w:val="32"/>
        </w:rPr>
        <w:t>发现的问题及原因：一是</w:t>
      </w:r>
      <w:r>
        <w:rPr>
          <w:rStyle w:val="a7"/>
          <w:rFonts w:ascii="仿宋_GB2312" w:eastAsia="仿宋_GB2312" w:hAnsi="仿宋_GB2312" w:cs="仿宋_GB2312" w:hint="eastAsia"/>
          <w:b w:val="0"/>
          <w:spacing w:val="-4"/>
          <w:sz w:val="32"/>
          <w:szCs w:val="32"/>
        </w:rPr>
        <w:t>绩效运行监控工作接触时间不长，但由于运行时间较短，在绩效目标编制上依然有欠缺，绩效目标设立不够明确、细化和量化。对绩效</w:t>
      </w:r>
      <w:r>
        <w:rPr>
          <w:rStyle w:val="a7"/>
          <w:rFonts w:ascii="仿宋_GB2312" w:eastAsia="仿宋_GB2312" w:hAnsi="仿宋_GB2312" w:cs="仿宋_GB2312" w:hint="eastAsia"/>
          <w:b w:val="0"/>
          <w:spacing w:val="-4"/>
          <w:sz w:val="32"/>
          <w:szCs w:val="32"/>
        </w:rPr>
        <w:lastRenderedPageBreak/>
        <w:t>分析也不够透彻</w:t>
      </w:r>
      <w:r w:rsidR="00235A14">
        <w:rPr>
          <w:rStyle w:val="a7"/>
          <w:rFonts w:ascii="仿宋_GB2312" w:eastAsia="仿宋_GB2312" w:hAnsi="仿宋_GB2312" w:cs="仿宋_GB2312" w:hint="eastAsia"/>
          <w:b w:val="0"/>
          <w:spacing w:val="-4"/>
          <w:sz w:val="32"/>
          <w:szCs w:val="32"/>
        </w:rPr>
        <w:t>；</w:t>
      </w:r>
      <w:r>
        <w:rPr>
          <w:rFonts w:ascii="仿宋_GB2312" w:eastAsia="仿宋_GB2312" w:hint="eastAsia"/>
          <w:sz w:val="32"/>
          <w:szCs w:val="32"/>
        </w:rPr>
        <w:t>二是</w:t>
      </w:r>
      <w:r>
        <w:rPr>
          <w:rStyle w:val="a7"/>
          <w:rFonts w:ascii="仿宋_GB2312" w:eastAsia="仿宋_GB2312" w:hAnsi="仿宋_GB2312" w:cs="仿宋_GB2312" w:hint="eastAsia"/>
          <w:b w:val="0"/>
          <w:spacing w:val="-4"/>
          <w:sz w:val="32"/>
          <w:szCs w:val="32"/>
        </w:rPr>
        <w:t>在资金申请工作中要积极主动联系财政部门确保资金及时落实到位，进一步按照国家有关财务规章制度规定加强资金使用管理，确保资金用到实处，工作有序的开展，加强自身建设，提高服务能力。通过分析评价，发现问题及时督促整改。</w:t>
      </w:r>
      <w:r>
        <w:rPr>
          <w:rFonts w:ascii="仿宋_GB2312" w:eastAsia="仿宋_GB2312" w:hint="eastAsia"/>
          <w:sz w:val="32"/>
          <w:szCs w:val="32"/>
        </w:rPr>
        <w:t>下一步改进措施：一是</w:t>
      </w:r>
      <w:r>
        <w:rPr>
          <w:rStyle w:val="a7"/>
          <w:rFonts w:ascii="仿宋_GB2312" w:eastAsia="仿宋_GB2312" w:hAnsi="仿宋_GB2312" w:cs="仿宋_GB2312" w:hint="eastAsia"/>
          <w:b w:val="0"/>
          <w:spacing w:val="-4"/>
          <w:sz w:val="32"/>
          <w:szCs w:val="32"/>
        </w:rPr>
        <w:t>大力强化宣传，加强政策学习，提高思想认识，提高绩效监控认同感，首先要从部门实际入手，进行深刻剖析，分析实施绩效监控的重要性和意义，激发部门单位对实施绩效监控的积极性</w:t>
      </w:r>
      <w:r w:rsidR="00235A14">
        <w:rPr>
          <w:rStyle w:val="a7"/>
          <w:rFonts w:ascii="仿宋_GB2312" w:eastAsia="仿宋_GB2312" w:hAnsi="仿宋_GB2312" w:cs="仿宋_GB2312" w:hint="eastAsia"/>
          <w:b w:val="0"/>
          <w:spacing w:val="-4"/>
          <w:sz w:val="32"/>
          <w:szCs w:val="32"/>
        </w:rPr>
        <w:t>；</w:t>
      </w:r>
      <w:r>
        <w:rPr>
          <w:rFonts w:ascii="仿宋_GB2312" w:eastAsia="仿宋_GB2312" w:hint="eastAsia"/>
          <w:sz w:val="32"/>
          <w:szCs w:val="32"/>
        </w:rPr>
        <w:t>二是</w:t>
      </w:r>
      <w:r>
        <w:rPr>
          <w:rStyle w:val="a7"/>
          <w:rFonts w:ascii="仿宋_GB2312" w:eastAsia="仿宋_GB2312" w:hAnsi="仿宋_GB2312" w:cs="仿宋_GB2312" w:hint="eastAsia"/>
          <w:b w:val="0"/>
          <w:spacing w:val="-4"/>
          <w:sz w:val="32"/>
          <w:szCs w:val="32"/>
        </w:rPr>
        <w:t>加强资金使用管理，严格按照执行资金批准的使用计划和批复资料，认真执行资金管理和财务管理制度，严格执行国家有关财务规章制度规定的开支范围及开支标准，确保资金用到实处，发挥效益。提升履职效率，强化管理效能，优化服务效果，促进创新创优，推动政府执行力和公信力提升</w:t>
      </w:r>
      <w:r>
        <w:rPr>
          <w:rStyle w:val="a7"/>
          <w:rFonts w:ascii="仿宋_GB2312" w:eastAsia="仿宋_GB2312" w:hAnsi="仿宋_GB2312" w:cs="仿宋_GB2312" w:hint="eastAsia"/>
          <w:b w:val="0"/>
          <w:color w:val="000000" w:themeColor="text1"/>
          <w:spacing w:val="-4"/>
          <w:sz w:val="32"/>
          <w:szCs w:val="32"/>
        </w:rPr>
        <w:t>。</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815"/>
        <w:gridCol w:w="1197"/>
        <w:gridCol w:w="1171"/>
        <w:gridCol w:w="968"/>
        <w:gridCol w:w="1016"/>
        <w:gridCol w:w="739"/>
        <w:gridCol w:w="916"/>
        <w:gridCol w:w="700"/>
      </w:tblGrid>
      <w:tr w:rsidR="002F785F" w14:paraId="2C65FD10" w14:textId="77777777" w:rsidTr="00ED28AC">
        <w:trPr>
          <w:trHeight w:val="522"/>
          <w:jc w:val="center"/>
        </w:trPr>
        <w:tc>
          <w:tcPr>
            <w:tcW w:w="8522"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1CAEAE"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2F785F" w14:paraId="1C25F484" w14:textId="77777777">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AA1CF6"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2F785F" w14:paraId="36F7727A" w14:textId="77777777">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223C0C"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669F3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木垒县歌舞团</w:t>
            </w:r>
          </w:p>
        </w:tc>
      </w:tr>
      <w:tr w:rsidR="002F785F" w14:paraId="46495F77" w14:textId="77777777" w:rsidTr="00ED28AC">
        <w:trPr>
          <w:trHeight w:val="57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DEF7648"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9785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A15FD"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A854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77360"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1CC0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D953D"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33DD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2F785F" w14:paraId="5A370CD7" w14:textId="77777777" w:rsidTr="00ED28AC">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E02EB4" w14:textId="77777777" w:rsidR="002F785F" w:rsidRDefault="002F785F">
            <w:pPr>
              <w:jc w:val="center"/>
              <w:rPr>
                <w:rFonts w:ascii="宋体" w:hAnsi="宋体"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6C5408"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089ED"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82CD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C91CB"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1C4E1"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AC50D"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67157"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14:paraId="09C4D343" w14:textId="77777777" w:rsidTr="00ED28AC">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F48613" w14:textId="77777777" w:rsidR="002F785F" w:rsidRDefault="002F785F">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844F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9BAAC"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B529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D543C"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55DA9"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6EA6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B01E8"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F785F" w14:paraId="7CFE3DDC" w14:textId="77777777" w:rsidTr="00ED28AC">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E96ABC" w14:textId="77777777" w:rsidR="002F785F" w:rsidRDefault="002F785F">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0A460"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ECB9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656F3"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266F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6106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F984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2C938"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ED28AC" w14:paraId="448801CB" w14:textId="77777777" w:rsidTr="00ED28AC">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981CEE" w14:textId="77777777" w:rsidR="00ED28AC" w:rsidRDefault="00ED28AC" w:rsidP="00ED28AC">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AA19E" w14:textId="77777777" w:rsidR="00ED28AC" w:rsidRDefault="00ED28AC" w:rsidP="00ED28AC">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6E4FF" w14:textId="77777777" w:rsidR="00ED28AC" w:rsidRDefault="00ED28AC" w:rsidP="00ED28AC">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342.18</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BBFC2" w14:textId="77777777" w:rsidR="00ED28AC" w:rsidRDefault="00ED28AC" w:rsidP="00ED28AC">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358.60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86D5C" w14:textId="77777777" w:rsidR="00ED28AC" w:rsidRDefault="00ED28AC" w:rsidP="00ED28AC">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358.60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8543D" w14:textId="2C6848DD" w:rsidR="00ED28AC" w:rsidRDefault="00ED28AC" w:rsidP="00ED28AC">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47EA1" w14:textId="37C01A35" w:rsidR="00ED28AC" w:rsidRDefault="00ED28AC" w:rsidP="00ED28AC">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AB17E" w14:textId="5FBA2783" w:rsidR="00ED28AC" w:rsidRDefault="00ED28AC" w:rsidP="00ED28AC">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ED28AC" w14:paraId="74051212" w14:textId="77777777" w:rsidTr="00ED28AC">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B9AC7A" w14:textId="77777777" w:rsidR="00ED28AC" w:rsidRDefault="00ED28AC" w:rsidP="00ED28AC">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A9517" w14:textId="77777777" w:rsidR="00ED28AC" w:rsidRDefault="00ED28AC" w:rsidP="00ED28AC">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68C37" w14:textId="77777777" w:rsidR="00ED28AC" w:rsidRDefault="00ED28AC" w:rsidP="00ED28AC">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DF34C" w14:textId="77777777" w:rsidR="00ED28AC" w:rsidRDefault="00ED28AC" w:rsidP="00ED28AC">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0.01</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B71DE" w14:textId="77777777" w:rsidR="00ED28AC" w:rsidRDefault="00ED28AC" w:rsidP="00ED28AC">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C2186" w14:textId="038AB8A4" w:rsidR="00ED28AC" w:rsidRDefault="00ED28AC" w:rsidP="00ED28AC">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EDD48" w14:textId="7BDA1C34" w:rsidR="00ED28AC" w:rsidRDefault="00ED28AC" w:rsidP="00ED28AC">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BF790" w14:textId="7978F2AB" w:rsidR="00ED28AC" w:rsidRDefault="00ED28AC" w:rsidP="00ED28AC">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F785F" w14:paraId="144E760A" w14:textId="77777777" w:rsidTr="00ED28AC">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9336AD" w14:textId="77777777" w:rsidR="002F785F" w:rsidRDefault="002F785F">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54153"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7C2A6"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342.18</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35A2C"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358.61</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70F8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358.61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B2A5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5C2B"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DDFC6"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F785F" w14:paraId="4786E86E" w14:textId="77777777" w:rsidTr="00ED28AC">
        <w:trPr>
          <w:trHeight w:val="705"/>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1131F9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AEF7E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687CC1"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2F785F" w14:paraId="20DB459A" w14:textId="77777777" w:rsidTr="00ED28AC">
        <w:trPr>
          <w:trHeight w:val="200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8FA884" w14:textId="77777777" w:rsidR="002F785F" w:rsidRDefault="002F785F">
            <w:pPr>
              <w:jc w:val="center"/>
              <w:rPr>
                <w:rFonts w:ascii="宋体" w:hAnsi="宋体" w:cs="宋体" w:hint="eastAsia"/>
                <w:color w:val="000000"/>
                <w:sz w:val="20"/>
                <w:szCs w:val="20"/>
              </w:rPr>
            </w:pPr>
          </w:p>
        </w:tc>
        <w:tc>
          <w:tcPr>
            <w:tcW w:w="33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B40A0A7"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2023年完成演出80场次，下乡演出15场次，参与大型演出活动2次，举办歌舞培训10次等活动；提升社会公众对歌舞演出的满意率。</w:t>
            </w:r>
          </w:p>
        </w:tc>
        <w:tc>
          <w:tcPr>
            <w:tcW w:w="363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95FF23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截止2023年12月31日，民族歌舞团正常运行，完成演出80场次，下乡演出15场次，参与大型演出活动3次，举办歌舞培训10次，经调研，我单位本年度的工作得到了社会公众极大的认可。</w:t>
            </w:r>
          </w:p>
        </w:tc>
      </w:tr>
      <w:tr w:rsidR="002F785F" w14:paraId="1FA5E7E0" w14:textId="77777777" w:rsidTr="00ED28AC">
        <w:trPr>
          <w:trHeight w:val="58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9EBD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8F768"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8575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BFA3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B5770"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651C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B52DE"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71538"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2F785F" w14:paraId="4F7DDDC6" w14:textId="77777777" w:rsidTr="00ED28AC">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D50B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BCF7719"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8A70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D03E0"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&gt;=27人</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A68A9"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《关于木垒哈萨克自治县文化体育广播电视和旅游局所属事业单位机构编制调整有关事宜的通知》（木县党机编发[2020]32号）</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E15C1"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55857"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27人</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AE989"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14:paraId="30712AFE" w14:textId="77777777" w:rsidTr="00ED28AC">
        <w:trPr>
          <w:trHeight w:val="74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AB1C6D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257AF3" w14:textId="77777777" w:rsidR="002F785F" w:rsidRDefault="002F785F">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A7E2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下乡巡回演出数量</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5F7F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&gt;=15次</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63EE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8957D"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BA743"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15次</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CA0C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14:paraId="10200CA2" w14:textId="77777777" w:rsidTr="00ED28AC">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8B224D" w14:textId="77777777" w:rsidR="002F785F" w:rsidRDefault="002F785F">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F972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668F9"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单场演出时长</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5C12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&lt;=2.50小时</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F741E"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68E46"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CD22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2.5小时</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6B08E"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14:paraId="379B708C" w14:textId="77777777" w:rsidTr="00ED28AC">
        <w:trPr>
          <w:trHeight w:val="74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8915C8C"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履职效能</w:t>
            </w: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983B7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DADC0"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年演出场次</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F8C13"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&gt;=80场次</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D68E7"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E4201"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7034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80场次</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53EE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14:paraId="6449EC19" w14:textId="77777777" w:rsidTr="00ED28AC">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398705" w14:textId="77777777" w:rsidR="002F785F" w:rsidRDefault="002F785F">
            <w:pPr>
              <w:jc w:val="center"/>
              <w:rPr>
                <w:rFonts w:ascii="宋体" w:hAnsi="宋体" w:cs="宋体" w:hint="eastAsia"/>
                <w:color w:val="000000"/>
                <w:sz w:val="20"/>
                <w:szCs w:val="20"/>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FDB4B0" w14:textId="77777777" w:rsidR="002F785F" w:rsidRDefault="002F785F">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9B706"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参与大型文艺演出场次</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F616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&gt;=2次</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7BE5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E3CB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B1C67"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2次</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4D8DE9"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14:paraId="0585A85C" w14:textId="77777777" w:rsidTr="00ED28AC">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F36DBA" w14:textId="77777777" w:rsidR="002F785F" w:rsidRDefault="002F785F">
            <w:pPr>
              <w:jc w:val="center"/>
              <w:rPr>
                <w:rFonts w:ascii="宋体" w:hAnsi="宋体" w:cs="宋体" w:hint="eastAsia"/>
                <w:color w:val="000000"/>
                <w:sz w:val="20"/>
                <w:szCs w:val="20"/>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C52899" w14:textId="77777777" w:rsidR="002F785F" w:rsidRDefault="002F785F">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35FFB"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举办歌舞培训数量</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60E5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&gt;=10次</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086CE"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061F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AB4A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10次</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1D497"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14:paraId="2C963FE6" w14:textId="77777777" w:rsidTr="00ED28AC">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987C81" w14:textId="77777777" w:rsidR="002F785F" w:rsidRDefault="002F785F">
            <w:pPr>
              <w:jc w:val="center"/>
              <w:rPr>
                <w:rFonts w:ascii="宋体" w:hAnsi="宋体" w:cs="宋体" w:hint="eastAsia"/>
                <w:color w:val="000000"/>
                <w:sz w:val="20"/>
                <w:szCs w:val="20"/>
              </w:rPr>
            </w:pP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ED4BB6"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E5FDC"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培训合格率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02D20"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FF2EC"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740D1"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E802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6ECC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14:paraId="76AFB4F6" w14:textId="77777777" w:rsidTr="00ED28AC">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E1779"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774A48" w14:textId="77777777" w:rsidR="002F785F" w:rsidRDefault="002F785F">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99761" w14:textId="77777777" w:rsidR="002F785F" w:rsidRDefault="002F785F">
            <w:pPr>
              <w:jc w:val="center"/>
              <w:rPr>
                <w:rFonts w:ascii="宋体" w:hAnsi="宋体" w:cs="宋体" w:hint="eastAsia"/>
                <w:color w:val="000000"/>
                <w:sz w:val="20"/>
                <w:szCs w:val="20"/>
              </w:rPr>
            </w:pP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13B61" w14:textId="77777777" w:rsidR="002F785F" w:rsidRDefault="002F785F">
            <w:pPr>
              <w:jc w:val="center"/>
              <w:rPr>
                <w:rFonts w:ascii="宋体" w:hAnsi="宋体" w:cs="宋体" w:hint="eastAsia"/>
                <w:color w:val="000000"/>
                <w:sz w:val="20"/>
                <w:szCs w:val="20"/>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FDB98" w14:textId="77777777" w:rsidR="002F785F" w:rsidRDefault="002F785F">
            <w:pPr>
              <w:jc w:val="center"/>
              <w:rPr>
                <w:rFonts w:ascii="宋体" w:hAnsi="宋体" w:cs="宋体" w:hint="eastAsia"/>
                <w:color w:val="000000"/>
                <w:sz w:val="20"/>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82A84" w14:textId="77777777" w:rsidR="002F785F" w:rsidRDefault="002F785F">
            <w:pPr>
              <w:jc w:val="center"/>
              <w:rPr>
                <w:rFonts w:ascii="宋体" w:hAnsi="宋体" w:cs="宋体" w:hint="eastAsia"/>
                <w:color w:val="000000"/>
                <w:sz w:val="20"/>
                <w:szCs w:val="20"/>
              </w:rPr>
            </w:pP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3CAB0" w14:textId="77777777" w:rsidR="002F785F" w:rsidRDefault="002F785F">
            <w:pPr>
              <w:jc w:val="center"/>
              <w:rPr>
                <w:rFonts w:ascii="宋体" w:hAnsi="宋体" w:cs="宋体" w:hint="eastAsia"/>
                <w:color w:val="000000"/>
                <w:sz w:val="20"/>
                <w:szCs w:val="20"/>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3BFBF" w14:textId="77777777" w:rsidR="002F785F" w:rsidRDefault="002F785F">
            <w:pPr>
              <w:jc w:val="center"/>
              <w:rPr>
                <w:rFonts w:ascii="宋体" w:hAnsi="宋体" w:cs="宋体" w:hint="eastAsia"/>
                <w:color w:val="000000"/>
                <w:sz w:val="20"/>
                <w:szCs w:val="20"/>
              </w:rPr>
            </w:pPr>
          </w:p>
        </w:tc>
      </w:tr>
      <w:tr w:rsidR="002F785F" w14:paraId="48F61DBA" w14:textId="77777777" w:rsidTr="00ED28AC">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E328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A489DC" w14:textId="77777777" w:rsidR="002F785F" w:rsidRDefault="002F785F">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96E3A" w14:textId="77777777" w:rsidR="002F785F" w:rsidRDefault="002F785F">
            <w:pPr>
              <w:jc w:val="center"/>
              <w:rPr>
                <w:rFonts w:ascii="宋体" w:hAnsi="宋体" w:cs="宋体" w:hint="eastAsia"/>
                <w:color w:val="000000"/>
                <w:sz w:val="20"/>
                <w:szCs w:val="20"/>
              </w:rPr>
            </w:pP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66E7B" w14:textId="77777777" w:rsidR="002F785F" w:rsidRDefault="002F785F">
            <w:pPr>
              <w:jc w:val="center"/>
              <w:rPr>
                <w:rFonts w:ascii="宋体" w:hAnsi="宋体" w:cs="宋体" w:hint="eastAsia"/>
                <w:color w:val="000000"/>
                <w:sz w:val="20"/>
                <w:szCs w:val="20"/>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91C22" w14:textId="77777777" w:rsidR="002F785F" w:rsidRDefault="002F785F">
            <w:pPr>
              <w:jc w:val="center"/>
              <w:rPr>
                <w:rFonts w:ascii="宋体" w:hAnsi="宋体" w:cs="宋体" w:hint="eastAsia"/>
                <w:color w:val="000000"/>
                <w:sz w:val="20"/>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907B6" w14:textId="77777777" w:rsidR="002F785F" w:rsidRDefault="002F785F">
            <w:pPr>
              <w:jc w:val="center"/>
              <w:rPr>
                <w:rFonts w:ascii="宋体" w:hAnsi="宋体" w:cs="宋体" w:hint="eastAsia"/>
                <w:color w:val="000000"/>
                <w:sz w:val="20"/>
                <w:szCs w:val="20"/>
              </w:rPr>
            </w:pP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9B646" w14:textId="77777777" w:rsidR="002F785F" w:rsidRDefault="002F785F">
            <w:pPr>
              <w:jc w:val="center"/>
              <w:rPr>
                <w:rFonts w:ascii="宋体" w:hAnsi="宋体" w:cs="宋体" w:hint="eastAsia"/>
                <w:color w:val="000000"/>
                <w:sz w:val="20"/>
                <w:szCs w:val="20"/>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25726" w14:textId="77777777" w:rsidR="002F785F" w:rsidRDefault="002F785F">
            <w:pPr>
              <w:jc w:val="center"/>
              <w:rPr>
                <w:rFonts w:ascii="宋体" w:hAnsi="宋体" w:cs="宋体" w:hint="eastAsia"/>
                <w:color w:val="000000"/>
                <w:sz w:val="20"/>
                <w:szCs w:val="20"/>
              </w:rPr>
            </w:pPr>
          </w:p>
        </w:tc>
      </w:tr>
      <w:tr w:rsidR="002F785F" w14:paraId="2BEC1EAB" w14:textId="77777777" w:rsidTr="00ED28AC">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F4901"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007C70" w14:textId="77777777" w:rsidR="002F785F" w:rsidRDefault="002F785F">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29CB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社会公众对歌舞演出的满意度</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2217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BCDE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68BFB"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4E218"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27841"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r>
    </w:tbl>
    <w:p w14:paraId="1C6163C9" w14:textId="77777777" w:rsidR="002F785F" w:rsidRDefault="002F785F">
      <w:pPr>
        <w:ind w:firstLineChars="200" w:firstLine="640"/>
        <w:jc w:val="left"/>
        <w:rPr>
          <w:rFonts w:ascii="黑体" w:eastAsia="黑体" w:hAnsi="黑体" w:cs="宋体" w:hint="eastAsia"/>
          <w:bCs/>
          <w:kern w:val="0"/>
          <w:sz w:val="32"/>
          <w:szCs w:val="32"/>
        </w:rPr>
      </w:pPr>
    </w:p>
    <w:p w14:paraId="5F3DCB71" w14:textId="77777777" w:rsidR="002F785F"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0B29B72" w14:textId="37B34B61" w:rsidR="002F785F" w:rsidRDefault="00000000">
      <w:pPr>
        <w:ind w:firstLineChars="200" w:firstLine="640"/>
        <w:jc w:val="left"/>
        <w:outlineLvl w:val="0"/>
        <w:rPr>
          <w:rFonts w:ascii="仿宋_GB2312" w:eastAsia="仿宋_GB2312" w:hAnsi="仿宋_GB2312" w:cs="仿宋_GB2312" w:hint="eastAsia"/>
          <w:kern w:val="0"/>
          <w:sz w:val="32"/>
          <w:szCs w:val="32"/>
        </w:rPr>
      </w:pPr>
      <w:bookmarkStart w:id="30" w:name="_Toc3250"/>
      <w:bookmarkStart w:id="31" w:name="_Toc24143"/>
      <w:r>
        <w:rPr>
          <w:rFonts w:ascii="仿宋_GB2312" w:eastAsia="仿宋_GB2312" w:hAnsi="仿宋_GB2312" w:cs="仿宋_GB2312" w:hint="eastAsia"/>
          <w:kern w:val="0"/>
          <w:sz w:val="32"/>
          <w:szCs w:val="32"/>
        </w:rPr>
        <w:t>我单位本年资金紧张未购买办公用品及设备。因此政府采购金额支出为0</w:t>
      </w:r>
      <w:r w:rsidR="00235A14">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万元。其中授予中小企业合同金额、授予小微企业合同金额为0</w:t>
      </w:r>
      <w:r w:rsidR="00235A14">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3F0245BF" w14:textId="77777777" w:rsidR="002F785F" w:rsidRDefault="00000000">
      <w:pPr>
        <w:jc w:val="center"/>
        <w:outlineLvl w:val="0"/>
        <w:rPr>
          <w:rFonts w:ascii="黑体" w:eastAsia="黑体" w:hAnsi="黑体" w:hint="eastAsia"/>
          <w:sz w:val="32"/>
          <w:szCs w:val="32"/>
        </w:rPr>
      </w:pPr>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553A885A"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18DC7FA"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73D8F25"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0FA969AB"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14775E6"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D82DBE8"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03B4E18"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E2F9707"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2C1DD1C"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24C3CE2"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1C88F69" w14:textId="77777777" w:rsidR="002F785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6326971" w14:textId="77777777" w:rsidR="002F785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7703D3A9" w14:textId="77777777" w:rsidR="002F785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8DC02C3" w14:textId="77777777" w:rsidR="002F785F"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B62E328" w14:textId="77777777" w:rsidR="002F785F"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BB15A15" w14:textId="77777777" w:rsidR="002F785F"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5DD9CEB0" w14:textId="77777777" w:rsidR="002F785F"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7DB27E8" w14:textId="77777777" w:rsidR="002F785F"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7D96AD52" w14:textId="77777777" w:rsidR="002F785F"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18840BEB" w14:textId="77777777" w:rsidR="002F785F"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1CC9E3DB" w14:textId="77777777" w:rsidR="002F785F"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083705DB" w14:textId="77777777" w:rsidR="002F785F"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41E84600" w14:textId="77777777" w:rsidR="002F785F"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06D2449F" w14:textId="77777777" w:rsidR="002F785F"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B9F3A57" w14:textId="77777777" w:rsidR="002F785F" w:rsidRDefault="002F785F">
      <w:pPr>
        <w:ind w:firstLineChars="200" w:firstLine="640"/>
        <w:rPr>
          <w:rFonts w:ascii="仿宋_GB2312" w:eastAsia="仿宋_GB2312"/>
          <w:sz w:val="32"/>
          <w:szCs w:val="32"/>
        </w:rPr>
      </w:pPr>
    </w:p>
    <w:p w14:paraId="368DE663" w14:textId="77777777" w:rsidR="002F785F" w:rsidRDefault="002F785F">
      <w:pPr>
        <w:ind w:firstLineChars="200" w:firstLine="640"/>
        <w:outlineLvl w:val="1"/>
        <w:rPr>
          <w:rFonts w:ascii="黑体" w:eastAsia="黑体" w:hAnsi="黑体" w:cs="宋体" w:hint="eastAsia"/>
          <w:bCs/>
          <w:kern w:val="0"/>
          <w:sz w:val="32"/>
          <w:szCs w:val="32"/>
        </w:rPr>
      </w:pPr>
    </w:p>
    <w:sectPr w:rsidR="002F785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DB29C4" w14:textId="77777777" w:rsidR="00F47BFD" w:rsidRDefault="00F47BFD">
      <w:r>
        <w:separator/>
      </w:r>
    </w:p>
  </w:endnote>
  <w:endnote w:type="continuationSeparator" w:id="0">
    <w:p w14:paraId="34FF9FFF" w14:textId="77777777" w:rsidR="00F47BFD" w:rsidRDefault="00F47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374A5B" w14:textId="77777777" w:rsidR="002F785F" w:rsidRDefault="00000000">
    <w:pPr>
      <w:pStyle w:val="a4"/>
    </w:pPr>
    <w:r>
      <w:rPr>
        <w:noProof/>
      </w:rPr>
      <mc:AlternateContent>
        <mc:Choice Requires="wps">
          <w:drawing>
            <wp:anchor distT="0" distB="0" distL="114300" distR="114300" simplePos="0" relativeHeight="251659264" behindDoc="0" locked="0" layoutInCell="1" allowOverlap="1" wp14:anchorId="53C5FE5A" wp14:editId="6DBBA4C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2AD3737" w14:textId="77777777" w:rsidR="002F785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3C5FE5A"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2AD3737" w14:textId="77777777" w:rsidR="002F785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7D71A4" w14:textId="77777777" w:rsidR="00F47BFD" w:rsidRDefault="00F47BFD">
      <w:r>
        <w:separator/>
      </w:r>
    </w:p>
  </w:footnote>
  <w:footnote w:type="continuationSeparator" w:id="0">
    <w:p w14:paraId="45CD7E94" w14:textId="77777777" w:rsidR="00F47BFD" w:rsidRDefault="00F47B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058092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2F785F"/>
    <w:rsid w:val="00077DD5"/>
    <w:rsid w:val="000E018A"/>
    <w:rsid w:val="00213C59"/>
    <w:rsid w:val="00235A14"/>
    <w:rsid w:val="002B2D04"/>
    <w:rsid w:val="002F785F"/>
    <w:rsid w:val="003210CE"/>
    <w:rsid w:val="003A44CA"/>
    <w:rsid w:val="003C1996"/>
    <w:rsid w:val="00463703"/>
    <w:rsid w:val="005428AE"/>
    <w:rsid w:val="00622755"/>
    <w:rsid w:val="00755CF9"/>
    <w:rsid w:val="007E1DDF"/>
    <w:rsid w:val="00890812"/>
    <w:rsid w:val="00B70D59"/>
    <w:rsid w:val="00E34622"/>
    <w:rsid w:val="00E86206"/>
    <w:rsid w:val="00ED28AC"/>
    <w:rsid w:val="00F47BFD"/>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EEF440E"/>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0F3B8D"/>
  <w15:docId w15:val="{20A4B143-B3BA-41B2-81CF-1D22FE7BB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kern w:val="2"/>
      <w:sz w:val="21"/>
      <w:szCs w:val="24"/>
    </w:rPr>
  </w:style>
  <w:style w:type="paragraph" w:styleId="2">
    <w:name w:val="heading 2"/>
    <w:basedOn w:val="a"/>
    <w:next w:val="a"/>
    <w:unhideWhenUsed/>
    <w:qFormat/>
    <w:pPr>
      <w:keepNext/>
      <w:keepLines/>
      <w:spacing w:line="560" w:lineRule="exact"/>
      <w:outlineLvl w:val="1"/>
    </w:pPr>
    <w:rPr>
      <w:rFonts w:ascii="Arial" w:eastAsia="楷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autoRedefine/>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 w:type="paragraph" w:customStyle="1" w:styleId="1">
    <w:name w:val="列表段落1"/>
    <w:basedOn w:val="a"/>
    <w:autoRedefine/>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17</Pages>
  <Words>1163</Words>
  <Characters>6633</Characters>
  <Application>Microsoft Office Word</Application>
  <DocSecurity>0</DocSecurity>
  <Lines>55</Lines>
  <Paragraphs>15</Paragraphs>
  <ScaleCrop>false</ScaleCrop>
  <Company/>
  <LinksUpToDate>false</LinksUpToDate>
  <CharactersWithSpaces>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7</cp:revision>
  <dcterms:created xsi:type="dcterms:W3CDTF">2014-10-29T12:08:00Z</dcterms:created>
  <dcterms:modified xsi:type="dcterms:W3CDTF">2024-11-11T03:12:00Z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